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74EF3" w:rsidRPr="00674EF3" w:rsidTr="00674EF3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F3" w:rsidRPr="00674EF3" w:rsidRDefault="00674EF3" w:rsidP="00674E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ỦY BAN NHÂN DÂN</w:t>
            </w:r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TỈNH BÌNH ĐỊNH</w:t>
            </w:r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F3" w:rsidRPr="00674EF3" w:rsidRDefault="00674EF3" w:rsidP="00674E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proofErr w:type="spellStart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Độc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-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do -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Hạnh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phúc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---------------</w:t>
            </w:r>
          </w:p>
        </w:tc>
      </w:tr>
      <w:tr w:rsidR="00674EF3" w:rsidRPr="00674EF3" w:rsidTr="00674EF3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F3" w:rsidRPr="00674EF3" w:rsidRDefault="00674EF3" w:rsidP="00674E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01/2023/QĐ-UBND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F3" w:rsidRPr="00674EF3" w:rsidRDefault="00674EF3" w:rsidP="00674EF3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74E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Bình Định,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05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01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2023</w:t>
            </w:r>
          </w:p>
        </w:tc>
      </w:tr>
    </w:tbl>
    <w:p w:rsidR="00674EF3" w:rsidRPr="00674EF3" w:rsidRDefault="00674EF3" w:rsidP="00674EF3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loai_1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QUYẾT ĐỊNH</w:t>
      </w:r>
      <w:bookmarkEnd w:id="0"/>
    </w:p>
    <w:p w:rsidR="00674EF3" w:rsidRPr="00674EF3" w:rsidRDefault="00674EF3" w:rsidP="00674EF3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loai_1_name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 ĐỊNH CHỨC NĂNG, NHIỆM VỤ, QUYỀN HẠN VÀ CƠ CẤU TỔ CHỨC CỦA SỞ GIAO THÔNG VẬN TẢI</w:t>
      </w:r>
      <w:bookmarkEnd w:id="1"/>
    </w:p>
    <w:p w:rsidR="00674EF3" w:rsidRPr="00674EF3" w:rsidRDefault="00674EF3" w:rsidP="00674EF3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ỦY BAN NHÂN DÂN TỈNH BÌNH ĐỊNH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Căn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cứ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19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6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2015;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sửa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bổ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sung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phủ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22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11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2019;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Căn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cứ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văn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22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6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 2015;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Sửa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bổ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sung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văn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18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6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2020;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Căn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cứ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Nghị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hAnsi="Times New Roman" w:cs="Times New Roman"/>
          <w:i/>
          <w:iCs/>
          <w:sz w:val="26"/>
          <w:szCs w:val="26"/>
        </w:rPr>
        <w:t> 24/2014/NĐ-CP </w:t>
      </w:r>
      <w:proofErr w:type="spellStart"/>
      <w:r w:rsidRPr="00674EF3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04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4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2014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phủ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ương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Nghị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</w:t>
      </w:r>
      <w:r w:rsidRPr="00674EF3">
        <w:rPr>
          <w:rFonts w:ascii="Times New Roman" w:hAnsi="Times New Roman" w:cs="Times New Roman"/>
          <w:i/>
          <w:iCs/>
          <w:sz w:val="26"/>
          <w:szCs w:val="26"/>
        </w:rPr>
        <w:t>107/2020/NĐ-CP</w:t>
      </w:r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14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9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 2020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phủ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sửa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bổ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sung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Nghị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24/2014/NĐ- CP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04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4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2014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phủ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ương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Căn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cứ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Thông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</w:t>
      </w:r>
      <w:r w:rsidRPr="00674EF3">
        <w:rPr>
          <w:rFonts w:ascii="Times New Roman" w:hAnsi="Times New Roman" w:cs="Times New Roman"/>
          <w:i/>
          <w:iCs/>
          <w:sz w:val="26"/>
          <w:szCs w:val="26"/>
        </w:rPr>
        <w:t>15/2021/TT-BGTVT</w:t>
      </w:r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30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7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2021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trưởng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ương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huyện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quận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xã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ương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Theo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nghị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Tờ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83/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TTr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- SGTVT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25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11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2022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nghị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Công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văn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2063/SNV-TCBC&amp;TCPCP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26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11 </w:t>
      </w:r>
      <w:proofErr w:type="spellStart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2022.</w:t>
      </w:r>
    </w:p>
    <w:p w:rsidR="00674EF3" w:rsidRPr="00674EF3" w:rsidRDefault="00674EF3" w:rsidP="00674EF3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QUYẾT ĐỊNH: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2" w:name="dieu_1"/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1.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tải</w:t>
      </w:r>
      <w:bookmarkEnd w:id="2"/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mưu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giúp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khai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đô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gồm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vượt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hè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đèn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hầm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hầm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đỗ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2.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con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3" w:name="dieu_2"/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2.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tải</w:t>
      </w:r>
      <w:bookmarkEnd w:id="3"/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huyện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lại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đ)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2.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xếp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3.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kỹ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lĩnh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phê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duyệt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dõi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lĩnh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4.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b)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đảm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kỹ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đang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khai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đảm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tuổi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thọ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ngừa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chặn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đ)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mưu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giúp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loại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đô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trọng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e)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thỏa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thỏa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phép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tuyến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đang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khai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ô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đỗ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dừng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nghỉ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tuyến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5.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xếp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dùng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trừ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đích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gram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</w:t>
      </w:r>
      <w:proofErr w:type="gram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ninh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kỹ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vui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chơi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dưới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máy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dùng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kỹ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kỹ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sửa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chữa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xếp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dùng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đào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sát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hồi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giấy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phép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giấy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6.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a)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triển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khai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triển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cộng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hỗ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trợ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phép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đỗ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taxi,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phê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duyệt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7.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gram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</w:t>
      </w:r>
      <w:proofErr w:type="gram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tai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cứu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sắt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tai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xảy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ngừa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nhằm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thiểu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tai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ùn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tắc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chặn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gây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mất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đ)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e)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khắc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đen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ẩn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tai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đảm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trọng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8.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9. Quản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phi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lĩnh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10.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lĩnh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Quản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đô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Kinh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huyện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xã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11.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lĩnh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ngoài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lĩnh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12.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lĩnh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cứu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tiến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khoa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-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kỹ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trữ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13.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lĩnh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khiếu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nại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chống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nhũng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lãng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14. Quy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15. Quản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máy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danh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đào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bồi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dưỡng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khen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thưởng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kỷ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16. Quản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17.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18.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4" w:name="dieu_3"/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3.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máy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tải</w:t>
      </w:r>
      <w:bookmarkEnd w:id="4"/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Lãnh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03 (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đứng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Quy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giúp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Khi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vắng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mặt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kiêm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đứng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trừ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2.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Các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- Tài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Quản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Quản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Văn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Thanh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d) Các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Trung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Đào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Trung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Ban Quản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3.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cứ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danh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phê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duyệt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hằng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nếu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xét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tuyển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cứ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yêu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5" w:name="dieu_4"/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4.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hiện</w:t>
      </w:r>
      <w:bookmarkEnd w:id="5"/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triển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khai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căn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cứ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Quy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Quy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2.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sắp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xếp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máy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3.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phê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duyệt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4.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6" w:name="dieu_5"/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5. Hiệu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hành</w:t>
      </w:r>
      <w:bookmarkEnd w:id="6"/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kể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15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01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2023.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2.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13/2019/QĐ-UBND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20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3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2019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Quy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Bình Định.</w:t>
      </w:r>
    </w:p>
    <w:p w:rsidR="00674EF3" w:rsidRPr="00674EF3" w:rsidRDefault="00674EF3" w:rsidP="00674EF3">
      <w:pPr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7" w:name="dieu_6"/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6.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hành</w:t>
      </w:r>
      <w:bookmarkEnd w:id="7"/>
      <w:proofErr w:type="spellEnd"/>
    </w:p>
    <w:p w:rsidR="00674EF3" w:rsidRPr="00674EF3" w:rsidRDefault="00674EF3" w:rsidP="00674EF3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Chánh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Văn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Giao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tải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trưởng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ban,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tỉnh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tịch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huyện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xã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674E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74EF3" w:rsidRPr="00674EF3" w:rsidTr="00674EF3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F3" w:rsidRPr="00674EF3" w:rsidRDefault="00674EF3" w:rsidP="00674E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74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proofErr w:type="spellStart"/>
            <w:r w:rsidRPr="00674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Nơi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  <w:r w:rsidRPr="00674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Như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6;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Giao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vận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tải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Cục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KTVBQPPL,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pháp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Thường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trực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Tỉnh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ủy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Đoàn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Quốc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tỉnh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Thường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trực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HĐND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tỉnh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Ủy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ban MTTQ Việt Nam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tỉnh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CT,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PCT UBND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tỉnh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LĐ, CV VP UBND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tỉnh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- Trung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tâm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- Công </w:t>
            </w:r>
            <w:proofErr w:type="spellStart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báo</w:t>
            </w:r>
            <w:proofErr w:type="spellEnd"/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- Lưu: VT, K12.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EF3" w:rsidRPr="00674EF3" w:rsidRDefault="00674EF3" w:rsidP="00674E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TM. ỦY BAN NHÂN DÂN</w:t>
            </w:r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CHỦ TỊCH</w:t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74EF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74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Phạm Anh Tuấn</w:t>
            </w:r>
          </w:p>
        </w:tc>
      </w:tr>
    </w:tbl>
    <w:p w:rsidR="008D3EC3" w:rsidRPr="00674EF3" w:rsidRDefault="008D3EC3">
      <w:pPr>
        <w:rPr>
          <w:rFonts w:ascii="Times New Roman" w:hAnsi="Times New Roman" w:cs="Times New Roman"/>
          <w:sz w:val="26"/>
          <w:szCs w:val="26"/>
        </w:rPr>
      </w:pPr>
    </w:p>
    <w:sectPr w:rsidR="008D3EC3" w:rsidRPr="00674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F3"/>
    <w:rsid w:val="00674EF3"/>
    <w:rsid w:val="008908A5"/>
    <w:rsid w:val="008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FBCC"/>
  <w15:chartTrackingRefBased/>
  <w15:docId w15:val="{BD4F0955-9BF1-4392-A4F0-8383DB1D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74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2285</Words>
  <Characters>13027</Characters>
  <Application>Microsoft Office Word</Application>
  <DocSecurity>0</DocSecurity>
  <Lines>108</Lines>
  <Paragraphs>30</Paragraphs>
  <ScaleCrop>false</ScaleCrop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Phuong</dc:creator>
  <cp:keywords/>
  <dc:description/>
  <cp:lastModifiedBy>Dong Phuong</cp:lastModifiedBy>
  <cp:revision>1</cp:revision>
  <dcterms:created xsi:type="dcterms:W3CDTF">2023-01-13T03:44:00Z</dcterms:created>
  <dcterms:modified xsi:type="dcterms:W3CDTF">2023-01-13T03:51:00Z</dcterms:modified>
</cp:coreProperties>
</file>